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308.999999999998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01"/>
        <w:gridCol w:w="4320"/>
        <w:gridCol w:w="3060"/>
        <w:gridCol w:w="3228"/>
        <w:tblGridChange w:id="0">
          <w:tblGrid>
            <w:gridCol w:w="3701"/>
            <w:gridCol w:w="4320"/>
            <w:gridCol w:w="3060"/>
            <w:gridCol w:w="3228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002">
            <w:pPr>
              <w:rPr>
                <w:rFonts w:ascii="Calibri" w:cs="Calibri" w:eastAsia="Calibri" w:hAnsi="Calibri"/>
                <w:b w:val="1"/>
                <w:bCs w:val="1"/>
                <w:color w:val="c00000"/>
                <w:sz w:val="32"/>
                <w:szCs w:val="3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Logický rámec pro projekt: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rPr>
                <w:rFonts w:ascii="Calibri" w:cs="Calibri" w:eastAsia="Calibri" w:hAnsi="Calibri"/>
                <w:b w:val="1"/>
                <w:bCs w:val="1"/>
                <w:i w:val="1"/>
                <w:i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1"/>
                <w:iCs w:val="1"/>
                <w:sz w:val="22"/>
                <w:szCs w:val="22"/>
                <w:rtl w:val="0"/>
              </w:rPr>
              <w:t xml:space="preserve"> Zvýšení technologické vybavenosti společnosti Šroub &amp; Matka, spol. s r.o. v Ostravě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 Název programu: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OP PIK, program podpory Technologie ITI OV</w:t>
            </w:r>
          </w:p>
        </w:tc>
      </w:tr>
      <w:tr>
        <w:trPr>
          <w:cantSplit w:val="0"/>
          <w:trHeight w:val="141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 Rozpočet: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17,1 mil Kč, z toho ERDF 4,865 mil. Kč</w:t>
            </w:r>
          </w:p>
        </w:tc>
      </w:tr>
      <w:tr>
        <w:trPr>
          <w:cantSplit w:val="0"/>
          <w:trHeight w:val="137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Přínosy (Hlavní cíl projektu)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Objektivně ověřitelné ukazatele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Způsob ověření ukazatelů (zdroje informací k ověření)</w:t>
            </w:r>
          </w:p>
        </w:tc>
        <w:tc>
          <w:tcPr>
            <w:vMerge w:val="restart"/>
            <w:shd w:fill="bfbfbf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i w:val="1"/>
                <w:iCs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rtl w:val="0"/>
              </w:rPr>
              <w:t xml:space="preserve">Nevyplňuje se</w:t>
            </w:r>
          </w:p>
        </w:tc>
      </w:tr>
      <w:tr>
        <w:trPr>
          <w:cantSplit w:val="0"/>
          <w:trHeight w:val="507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Posílení ekonomického rozvoje a růst konkurenceschopnosti firmy Šroub &amp; Matka, spol. s r.o. a to pořízením souboru nového technologického vybavení pro výrobní činnost v oblasti tváření, svařování, vysekávání a kompletace a balení výrobků z plechových tabulí</w:t>
            </w:r>
          </w:p>
        </w:tc>
        <w:tc>
          <w:tcPr/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Modernizace a zvýšení výrobní kapacity provozovny žadatele v Ostravě</w:t>
            </w:r>
          </w:p>
        </w:tc>
        <w:tc>
          <w:tcPr/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324" w:hanging="284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Monitorovací zprávy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ind w:left="324" w:hanging="284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Výkaz zisku a ztráty (VZZ)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ind w:left="324" w:hanging="284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Výkaz Cash-flow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ind w:left="324" w:hanging="284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Výroční zpráva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ind w:left="324" w:hanging="284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Zpráva auditora</w:t>
            </w:r>
          </w:p>
        </w:tc>
        <w:tc>
          <w:tcPr>
            <w:vMerge w:val="continue"/>
            <w:shd w:fill="bfbfbf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Účel (Specifický cíl projektu)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Objektivně ověřitelné ukazatele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Způsob ověření ukazatelů (zdroje informací k ověření)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Předpoklady / rizika</w:t>
            </w:r>
          </w:p>
        </w:tc>
      </w:tr>
      <w:tr>
        <w:trPr>
          <w:cantSplit w:val="0"/>
          <w:trHeight w:val="1104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Pořízení, instalace a zprovoznění souboru nového technologického vybavení pro výrobní činnost v oblasti tváření, svařování, vysekávání a kompletace a balení výrobků z plechových tabulí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Stabilizace stávající zaměstnanosti firmy v souvislosti s výstupy projektu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Zvýšení ziskovosti výroby po skončení realizace projektu</w:t>
            </w:r>
          </w:p>
        </w:tc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Pořízení 10 ks nových technologických zařízení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Vytvoření 3 nových pracovních míst v souvislosti s projektem.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Zvýšení tržeb o 11 % do 1 roku po skončení realizace projektu</w:t>
            </w:r>
          </w:p>
          <w:p w:rsidR="00000000" w:rsidDel="00000000" w:rsidP="00000000" w:rsidRDefault="00000000" w:rsidRPr="00000000" w14:paraId="00000021">
            <w:pPr>
              <w:ind w:left="36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Formuláře pro vykázání plnění indikátorů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ZZoR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Výroční zpráva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Výkaz Cash-flow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Výkaz zisku a ztráty (VZZ)</w:t>
            </w:r>
          </w:p>
        </w:tc>
        <w:tc>
          <w:tcPr/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Zvýšený zájem o výrobky společnosti ze strany domácích a především zahraničních odběratelů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Růst tržeb společnosti a zvýšení tvorby nerozděleného zisku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Navázání nových odběratelských vazeb</w:t>
            </w:r>
          </w:p>
        </w:tc>
      </w:tr>
      <w:tr>
        <w:trPr>
          <w:cantSplit w:val="0"/>
          <w:trHeight w:val="164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Výstupy (Výsledky) projektu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Objektivně ověřitelné ukazatele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Způsob ověření ukazatelů (zdroje informací k ověření)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Předpoklady / rizika</w:t>
            </w:r>
          </w:p>
        </w:tc>
      </w:tr>
      <w:tr>
        <w:trPr>
          <w:cantSplit w:val="0"/>
          <w:trHeight w:val="836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Pořízení souboru nového technologického zařízení pro zpracování plechů a hutního materiálu.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Tvorba pracovních míst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Změna výše tržeb příjemce v souvislosti s realizací projektu 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Soubor 10 ks samostatných moderních technologických zařízení pro zpracování plechů a hutního materiálu.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 nová pracovní místa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Změna výše tržeb o 11 % do 1 roku po skončení realizace projektu</w:t>
            </w:r>
          </w:p>
        </w:tc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Projektová dokumentace – podnikatelský záměr, žádost o podporu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Inventární karty majetku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Fotodokumentace z realizace projektu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Pracovní smlouvy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Možnost ověření na místě</w:t>
            </w:r>
          </w:p>
        </w:tc>
        <w:tc>
          <w:tcPr/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Zajištění finančních zdrojů pro předfinancování projektu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Úspěšná realizace výběrových řízení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Dodržení termínů pro realizaci jednotlivých činností v projektu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Aktivity projektu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Zdroje (Prostředky, vstupy, náklady)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Časový rámec aktivit projektu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Předpoklady / rizika</w:t>
            </w:r>
          </w:p>
        </w:tc>
      </w:tr>
      <w:tr>
        <w:trPr>
          <w:cantSplit w:val="0"/>
          <w:trHeight w:val="1412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Jedna etapa – činnosti: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Příprava, zadání a realizace VŘ – nadlimitní VZ (1 ks soubor + 1 ks samostatné technologie)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Příprava, zadání a realizace VŘ – VZMR (6 ks technologií)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Realizace dodávek 8 ks technologického zařízení vybranými dodavateli dle výsledků VŘ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Přímý nákup 2 ks technologií bez VŘ (oslovení tří dodavatelů)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Instalace technologií a jejich zkušební provoz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Výběr zaměstnanců pro provozovnu podniku a uzavření pracovního poměru</w:t>
            </w:r>
          </w:p>
        </w:tc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Smlouvy: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4"/>
              </w:numPr>
              <w:ind w:left="677" w:hanging="284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Uzavřený právní akt s poskytovatelem dotace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4"/>
              </w:numPr>
              <w:ind w:left="677" w:hanging="284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Uzavřená smlouva s externí poradenskou společností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4"/>
              </w:numPr>
              <w:ind w:left="677" w:hanging="284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Uzavřené smlouvy s vítěznými dodavateli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Finanční zdroje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4"/>
              </w:numPr>
              <w:ind w:left="108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Vlastní: 17,1 mil Kč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4"/>
              </w:numPr>
              <w:ind w:left="108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Cizí: dotace z EU 4,865 mil. Kč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Investiční dohled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Technické vybavení</w:t>
            </w:r>
          </w:p>
        </w:tc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Realizační fáze projektu: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4"/>
              </w:numPr>
              <w:ind w:left="1080" w:hanging="754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etapa: 9 měsíců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4"/>
              </w:numPr>
              <w:ind w:left="1080" w:hanging="754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Zahájení: 1. 3. 2018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4"/>
              </w:numPr>
              <w:ind w:left="1080" w:hanging="754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Ukončení: 30. 11. 2018</w:t>
            </w:r>
          </w:p>
        </w:tc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Zajištění finančních zdrojů pro předfinancování projektu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Existence vhodných dodavatelů pro zajištění průzkumu trhu </w:t>
              <w:br w:type="textWrapping"/>
              <w:t xml:space="preserve">a získání cenových nabídek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4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Výběr vhodných dodavatelů technologií</w:t>
            </w:r>
          </w:p>
          <w:p w:rsidR="00000000" w:rsidDel="00000000" w:rsidP="00000000" w:rsidRDefault="00000000" w:rsidRPr="00000000" w14:paraId="00000057">
            <w:pPr>
              <w:ind w:left="36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3"/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V projektu nebude řešeno: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Přímá podpora vývozu vlastních výrobků – zahraniční odběratelé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(2019)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Přímá podpora energetické účinnosti výroby – změna hlavního energetického zdroje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2020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Výrobní prostory v provozovně projektu – nová výrobní hala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2021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Výstavba fotovoltaické elektrárny – střech výrobní haly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2022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5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Předběžné podmínky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0" w:hRule="atLeast"/>
          <w:tblHeader w:val="0"/>
        </w:trPr>
        <w:tc>
          <w:tcPr>
            <w:gridSpan w:val="3"/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numPr>
                <w:ilvl w:val="0"/>
                <w:numId w:val="5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Existence vhodného dotačního titulu a výzvy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5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Projekt bude vybrán </w:t>
              <w:br w:type="textWrapping"/>
              <w:t xml:space="preserve">a schválen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5"/>
              </w:numPr>
              <w:ind w:left="36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Uzavření smlouvy s externí poradenskou společností</w:t>
            </w:r>
          </w:p>
        </w:tc>
      </w:tr>
    </w:tbl>
    <w:p w:rsidR="00000000" w:rsidDel="00000000" w:rsidP="00000000" w:rsidRDefault="00000000" w:rsidRPr="00000000" w14:paraId="00000069">
      <w:pPr>
        <w:ind w:left="-567" w:firstLine="567"/>
        <w:rPr>
          <w:rFonts w:ascii="Calibri" w:cs="Calibri" w:eastAsia="Calibri" w:hAnsi="Calibri"/>
          <w:i w:val="1"/>
          <w:i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0"/>
          <w:szCs w:val="20"/>
          <w:rtl w:val="0"/>
        </w:rPr>
        <w:t xml:space="preserve">Zdroj: Vlastní zpracování, 2023 (Obsah LFM inspirován skutečným projektem, volně upraveno a pozměněno)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17" w:top="568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♦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♦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♦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♦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♦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♦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♦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♦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♦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♦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♦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♦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♦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♦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♦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♦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♦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♦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♦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♦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♦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♦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♦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♦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♦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♦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♦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♦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♦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♦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♦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♦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♦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♦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♦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♦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♦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